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CC2" w:rsidRDefault="00093CC2" w:rsidP="00093CC2">
      <w:pPr>
        <w:pStyle w:val="Cmsor1"/>
        <w:jc w:val="center"/>
      </w:pPr>
      <w:r>
        <w:rPr>
          <w:rStyle w:val="highlighted"/>
        </w:rPr>
        <w:t>253/1997. (XII. 20.) Korm. rendelet</w:t>
      </w:r>
    </w:p>
    <w:p w:rsidR="00093CC2" w:rsidRDefault="00093CC2" w:rsidP="00093CC2">
      <w:pPr>
        <w:pStyle w:val="Cmsor2"/>
        <w:jc w:val="center"/>
      </w:pPr>
      <w:r>
        <w:rPr>
          <w:rStyle w:val="highlighted"/>
        </w:rPr>
        <w:t>az országos településrendezési és építési követelményekről</w:t>
      </w:r>
    </w:p>
    <w:p w:rsidR="00093CC2" w:rsidRPr="00093CC2" w:rsidRDefault="00093CC2" w:rsidP="00093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0" w:name="_GoBack"/>
      <w:bookmarkEnd w:id="0"/>
      <w:r w:rsidRPr="00093CC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4. számú melléklet a 253/1997. (XII. 20.) Korm. rendelethez</w:t>
      </w:r>
    </w:p>
    <w:p w:rsidR="00093CC2" w:rsidRPr="00093CC2" w:rsidRDefault="00093CC2" w:rsidP="00093C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CC2" w:rsidRPr="00093CC2" w:rsidRDefault="00093CC2" w:rsidP="00093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elhelyezendő személygépkocsik számának megállapítása</w:t>
      </w:r>
    </w:p>
    <w:p w:rsidR="00093CC2" w:rsidRPr="00093CC2" w:rsidRDefault="00093CC2" w:rsidP="00093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CC2" w:rsidRPr="00093CC2" w:rsidRDefault="00093CC2" w:rsidP="00093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CC2">
        <w:rPr>
          <w:rFonts w:ascii="Times New Roman" w:eastAsia="Times New Roman" w:hAnsi="Times New Roman" w:cs="Times New Roman"/>
          <w:sz w:val="24"/>
          <w:szCs w:val="24"/>
          <w:lang w:eastAsia="hu-HU"/>
        </w:rPr>
        <w:t>Egy személygépkocsi elhelyezését kell biztosítani:</w:t>
      </w:r>
    </w:p>
    <w:p w:rsidR="00093CC2" w:rsidRPr="00093CC2" w:rsidRDefault="00093CC2" w:rsidP="00093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CC2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</w:p>
    <w:p w:rsidR="00093CC2" w:rsidRPr="00093CC2" w:rsidRDefault="00093CC2" w:rsidP="00093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CC2">
        <w:rPr>
          <w:rFonts w:ascii="Times New Roman" w:eastAsia="Times New Roman" w:hAnsi="Times New Roman" w:cs="Times New Roman"/>
          <w:sz w:val="24"/>
          <w:szCs w:val="24"/>
          <w:lang w:eastAsia="hu-HU"/>
        </w:rPr>
        <w:t>2. kereskedelmi, szolgáltató önálló rendeltetési egység árusítóterének 0–100 m</w:t>
      </w:r>
      <w:r w:rsidRPr="00093C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093CC2">
        <w:rPr>
          <w:rFonts w:ascii="Times New Roman" w:eastAsia="Times New Roman" w:hAnsi="Times New Roman" w:cs="Times New Roman"/>
          <w:sz w:val="24"/>
          <w:szCs w:val="24"/>
          <w:lang w:eastAsia="hu-HU"/>
        </w:rPr>
        <w:t>-ig minden megkezdett 10 m</w:t>
      </w:r>
      <w:r w:rsidRPr="00093C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093CC2">
        <w:rPr>
          <w:rFonts w:ascii="Times New Roman" w:eastAsia="Times New Roman" w:hAnsi="Times New Roman" w:cs="Times New Roman"/>
          <w:sz w:val="24"/>
          <w:szCs w:val="24"/>
          <w:lang w:eastAsia="hu-HU"/>
        </w:rPr>
        <w:t>, e fölött minden megkezdett 20 m</w:t>
      </w:r>
      <w:r w:rsidRPr="00093C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093C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alapterülete után,</w:t>
      </w:r>
    </w:p>
    <w:p w:rsidR="00093CC2" w:rsidRDefault="00093CC2" w:rsidP="00093CC2">
      <w:pPr>
        <w:pStyle w:val="Cmsor1"/>
        <w:jc w:val="center"/>
        <w:rPr>
          <w:rStyle w:val="highlighted"/>
        </w:rPr>
      </w:pPr>
    </w:p>
    <w:p w:rsidR="00093CC2" w:rsidRDefault="00093CC2" w:rsidP="00093CC2">
      <w:pPr>
        <w:pStyle w:val="Cmsor1"/>
        <w:jc w:val="center"/>
        <w:rPr>
          <w:rStyle w:val="highlighted"/>
        </w:rPr>
      </w:pPr>
    </w:p>
    <w:p w:rsidR="00093CC2" w:rsidRDefault="00093CC2" w:rsidP="00093CC2">
      <w:pPr>
        <w:pStyle w:val="Cmsor1"/>
        <w:jc w:val="center"/>
      </w:pPr>
      <w:r>
        <w:rPr>
          <w:rStyle w:val="highlighted"/>
        </w:rPr>
        <w:t>2005. évi CLXIV. törvény</w:t>
      </w:r>
    </w:p>
    <w:p w:rsidR="00093CC2" w:rsidRDefault="00093CC2" w:rsidP="00093CC2">
      <w:pPr>
        <w:pStyle w:val="Cmsor2"/>
        <w:jc w:val="center"/>
      </w:pPr>
      <w:r>
        <w:rPr>
          <w:rStyle w:val="highlighted"/>
        </w:rPr>
        <w:t>a kereskedelemről</w:t>
      </w:r>
    </w:p>
    <w:p w:rsidR="00093CC2" w:rsidRDefault="00093CC2" w:rsidP="00093CC2">
      <w:pPr>
        <w:pStyle w:val="uj"/>
        <w:jc w:val="both"/>
      </w:pPr>
      <w:r>
        <w:rPr>
          <w:rStyle w:val="highlighted"/>
          <w:b/>
          <w:bCs/>
        </w:rPr>
        <w:t xml:space="preserve">5/A. § </w:t>
      </w:r>
      <w:r>
        <w:rPr>
          <w:rStyle w:val="highlighted"/>
        </w:rPr>
        <w:t xml:space="preserve">A napi fogyasztási cikket értékesítő új üzlet működését akkor kezdheti meg, ha biztosítja az országos településrendezési és építési követelményekről szóló kormányrendeletben az árusítótér nagysága alapján meghatározott számú személygépkocsi elhelyezésére szolgáló </w:t>
      </w:r>
      <w:proofErr w:type="spellStart"/>
      <w:r>
        <w:rPr>
          <w:rStyle w:val="highlighted"/>
        </w:rPr>
        <w:t>várakozóhelyet</w:t>
      </w:r>
      <w:proofErr w:type="spellEnd"/>
      <w:r>
        <w:rPr>
          <w:rStyle w:val="highlighted"/>
        </w:rPr>
        <w:t>, és megfelel a járművek elhelyezésével kapcsolatos szabályoknak.</w:t>
      </w:r>
    </w:p>
    <w:p w:rsidR="00093CC2" w:rsidRDefault="00093CC2" w:rsidP="00093C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</w:p>
    <w:p w:rsidR="00093CC2" w:rsidRPr="00093CC2" w:rsidRDefault="00093CC2" w:rsidP="00093C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093C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210/2009. (IX. 29.) Korm. rendelet</w:t>
      </w:r>
    </w:p>
    <w:p w:rsidR="00093CC2" w:rsidRPr="00093CC2" w:rsidRDefault="00093CC2" w:rsidP="00093C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93CC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kereskedelmi tevékenységek végzésének feltételeiről</w:t>
      </w:r>
    </w:p>
    <w:p w:rsidR="00093CC2" w:rsidRDefault="00093CC2" w:rsidP="00093CC2">
      <w:pPr>
        <w:pStyle w:val="uj"/>
        <w:jc w:val="both"/>
      </w:pPr>
      <w:r>
        <w:rPr>
          <w:rStyle w:val="highlighted"/>
          <w:b/>
          <w:bCs/>
        </w:rPr>
        <w:t>27. §</w:t>
      </w:r>
      <w:r>
        <w:rPr>
          <w:rStyle w:val="highlighted"/>
        </w:rPr>
        <w:t xml:space="preserve"> (1) Ha a kereskedő a tevékenységére, a forgalmazott termékre, illetve annak árusítására vonatkozó jogszabályi előírásoknak nem tesz eleget, vagy a kereskedő, illetve az üzletként szolgáló épület a hatályos jogszabályi feltételeknek nem felel meg, és a jogsértés másként nem orvosolható, illetve a jogszabályi feltételeknek való megfelelés más módon nem biztosítható, a jegyző – a (2) bekezdés a) pontja és a (3) bekezdés szerinti eset kivételével – az észlelt hiányosságok megszüntetéséig, de legfeljebb kilencven napra a tevékenységet megtilthatja, vagy az üzletet ideiglenesen </w:t>
      </w:r>
      <w:proofErr w:type="spellStart"/>
      <w:r>
        <w:rPr>
          <w:rStyle w:val="highlighted"/>
        </w:rPr>
        <w:t>bezárathatja</w:t>
      </w:r>
      <w:proofErr w:type="spellEnd"/>
      <w:r>
        <w:rPr>
          <w:rStyle w:val="highlighted"/>
        </w:rPr>
        <w:t>.</w:t>
      </w:r>
    </w:p>
    <w:p w:rsidR="00093CC2" w:rsidRDefault="00093CC2" w:rsidP="00093CC2">
      <w:pPr>
        <w:pStyle w:val="NormlWeb"/>
        <w:jc w:val="both"/>
      </w:pPr>
      <w:r>
        <w:rPr>
          <w:rStyle w:val="highlighted"/>
        </w:rPr>
        <w:lastRenderedPageBreak/>
        <w:t xml:space="preserve">(2) A jegyző a működési engedélyt visszavonja, illetve tevékenység folytatását megtiltja és a kereskedőt, illetve az üzletet a nyilvántartásból törli és az üzletet </w:t>
      </w:r>
      <w:proofErr w:type="spellStart"/>
      <w:r>
        <w:rPr>
          <w:rStyle w:val="highlighted"/>
        </w:rPr>
        <w:t>bezáratja</w:t>
      </w:r>
      <w:proofErr w:type="spellEnd"/>
      <w:r>
        <w:rPr>
          <w:rStyle w:val="highlighted"/>
        </w:rPr>
        <w:t>, ha</w:t>
      </w:r>
    </w:p>
    <w:p w:rsidR="00093CC2" w:rsidRDefault="00093CC2" w:rsidP="00093CC2">
      <w:pPr>
        <w:pStyle w:val="NormlWeb"/>
        <w:jc w:val="both"/>
      </w:pPr>
      <w:r>
        <w:rPr>
          <w:rStyle w:val="highlighted"/>
        </w:rPr>
        <w:t>a) a működési engedély kiadásának feltételei már nem állnak fenn,</w:t>
      </w:r>
    </w:p>
    <w:p w:rsidR="00093CC2" w:rsidRDefault="00093CC2" w:rsidP="00093CC2">
      <w:pPr>
        <w:pStyle w:val="NormlWeb"/>
        <w:jc w:val="both"/>
      </w:pPr>
      <w:r>
        <w:rPr>
          <w:rStyle w:val="highlighted"/>
        </w:rPr>
        <w:t>b) a kereskedő az (1) bekezdés szerinti jegyzői határozatban meghatározott időtartam alatt nem tesz eleget a határozatban foglaltaknak,</w:t>
      </w:r>
    </w:p>
    <w:p w:rsidR="00093CC2" w:rsidRDefault="00093CC2" w:rsidP="00093CC2">
      <w:pPr>
        <w:pStyle w:val="NormlWeb"/>
        <w:jc w:val="both"/>
      </w:pPr>
      <w:r>
        <w:rPr>
          <w:rStyle w:val="highlighted"/>
        </w:rPr>
        <w:t>c) a kereskedő a külön jogszabályban meghatározott veszélyes mértékű környezeti zaj esetén, a lakók egészséges életkörülményeinek és pihenéshez való jogának biztosítása érdekében, a jogsértő állapot megszüntetéséig elrendelt kötelező éjszakai zárva tartási időszak alatt továbbra is nyitva tart,</w:t>
      </w:r>
    </w:p>
    <w:p w:rsidR="00093CC2" w:rsidRDefault="00093CC2" w:rsidP="00093CC2">
      <w:pPr>
        <w:pStyle w:val="NormlWeb"/>
        <w:jc w:val="both"/>
      </w:pPr>
      <w:r>
        <w:rPr>
          <w:rStyle w:val="highlighted"/>
        </w:rPr>
        <w:t>d) a kereskedő a külön jogszabályban meghatározott veszélyes mértékű környezeti zaj esetén a hirdetés vagy figyelemfelhívás céljára szolgáló hanghatásokat okozó eszközt használatának megtiltása ellenére tovább használja.</w:t>
      </w:r>
    </w:p>
    <w:p w:rsidR="00093CC2" w:rsidRDefault="00093CC2" w:rsidP="00093CC2">
      <w:pPr>
        <w:pStyle w:val="NormlWeb"/>
        <w:jc w:val="both"/>
      </w:pPr>
      <w:r>
        <w:rPr>
          <w:rStyle w:val="highlighted"/>
        </w:rPr>
        <w:t xml:space="preserve">(3) Amennyiben az ellenőrzés során megállapítást nyer, hogy a kereskedő működési engedéllyel nem rendelkező üzletben folytat kizárólag üzlethez kötött kereskedelmi tevékenységet, a jegyző köteles az üzletet azonnal </w:t>
      </w:r>
      <w:proofErr w:type="spellStart"/>
      <w:r>
        <w:rPr>
          <w:rStyle w:val="highlighted"/>
        </w:rPr>
        <w:t>bezáratni</w:t>
      </w:r>
      <w:proofErr w:type="spellEnd"/>
      <w:r>
        <w:rPr>
          <w:rStyle w:val="highlighted"/>
        </w:rPr>
        <w:t>.</w:t>
      </w:r>
    </w:p>
    <w:p w:rsidR="00093CC2" w:rsidRDefault="00093CC2" w:rsidP="00093CC2">
      <w:pPr>
        <w:pStyle w:val="uj"/>
        <w:jc w:val="both"/>
      </w:pPr>
      <w:r>
        <w:rPr>
          <w:rStyle w:val="highlighted"/>
        </w:rPr>
        <w:t>(4) A jegyző az (</w:t>
      </w:r>
      <w:proofErr w:type="gramStart"/>
      <w:r>
        <w:rPr>
          <w:rStyle w:val="highlighted"/>
        </w:rPr>
        <w:t>1)–</w:t>
      </w:r>
      <w:proofErr w:type="gramEnd"/>
      <w:r>
        <w:rPr>
          <w:rStyle w:val="highlighted"/>
        </w:rPr>
        <w:t>(3) bekezdés alapján hozott határozatát elektronikus úton közli a 6. § (2) bekezdésében megjelölt és a külön engedélyt kiadó hatósággal, a hulladékkezelési és hulladékgazdálkodási követelményeknek való megfelelőség kapcsán eljáró területi környezetvédelmi hatósággal, valamint az egyéni vállalkozót nyilvántartásba vevő állami adóhatósággal, gazdasági társaság esetén az illetékes cégbírósággal.</w:t>
      </w:r>
    </w:p>
    <w:p w:rsidR="00093CC2" w:rsidRDefault="00093CC2" w:rsidP="00093CC2">
      <w:pPr>
        <w:pStyle w:val="uj"/>
        <w:jc w:val="both"/>
      </w:pPr>
      <w:r>
        <w:rPr>
          <w:rStyle w:val="highlighted"/>
        </w:rPr>
        <w:t>(5) A jegyző ellenőrzése során a vendéglátó üzletek Nemzeti Turisztikai Adatszolgáltató Központba történő adatszolgáltatási kötelezettségének teljesítését is vizsgálja.</w:t>
      </w:r>
    </w:p>
    <w:p w:rsidR="00093CC2" w:rsidRDefault="00093CC2" w:rsidP="00093CC2">
      <w:pPr>
        <w:pStyle w:val="uj"/>
        <w:jc w:val="both"/>
      </w:pPr>
      <w:r>
        <w:rPr>
          <w:rStyle w:val="highlighted"/>
        </w:rPr>
        <w:t xml:space="preserve">(6) A jegyző a 2. melléklet A) pontja szerinti nyilvántartásba vett vendéglátó üzlet Nemzeti Turisztikai Adatszolgáltató Központba történő adatszolgáltatási tevékenységét évente legalább egy alkalommal hatósági ellenőrzés keretében ellenőrzi. A jegyző, ha a Nemzeti Turisztikai Adatszolgáltató Központba történő adatszolgáltatási tevékenység ellenőrzésére irányuló hatósági ellenőrzés eredményes lefolytatásához az általános közigazgatási rendtartásról szóló törvény alapján indokolt, szakértőként a szakterületek ágazati követelményeiért felelős szervek kijelöléséről, valamint a meghatározott szakkérdésekben kizárólagosan eljáró és egyes szakterületeken szakvéleményt adó szervekről szóló </w:t>
      </w:r>
      <w:hyperlink r:id="rId4" w:history="1">
        <w:r>
          <w:rPr>
            <w:rStyle w:val="highlighted"/>
            <w:color w:val="0000FF"/>
            <w:u w:val="single"/>
          </w:rPr>
          <w:t>282/2007. (X. 26.) Korm. rendelet 4. §-a</w:t>
        </w:r>
      </w:hyperlink>
      <w:r>
        <w:rPr>
          <w:rStyle w:val="highlighted"/>
        </w:rPr>
        <w:t xml:space="preserve"> alapján elsősorban a Magyar Turisztikai Ügynökség Zártkörűen Működő Részvénytársaságot rendeli ki.</w:t>
      </w:r>
    </w:p>
    <w:p w:rsidR="00093CC2" w:rsidRDefault="00093CC2" w:rsidP="00093CC2">
      <w:pPr>
        <w:pStyle w:val="uj"/>
        <w:jc w:val="both"/>
      </w:pPr>
      <w:r>
        <w:rPr>
          <w:rStyle w:val="highlighted"/>
        </w:rPr>
        <w:t xml:space="preserve">(7) A jegyző értesíti a Nemzeti Turisztikai Adatszolgáltató Központ üzemeltetőjét azon vendéglátó üzletekről, amelyeknek alkalmaznia kell vendéglátó szoftvert, de azzal nem rendelkeznek, vagy a hatósági ellenőrzés megállapítása alapján a Nemzeti Turisztikai Adatszolgáltató Központnál nem regisztráltak vagy a turisztikai térségek fejlesztésének állami feladatairól szóló törvény végrehajtásáról szóló </w:t>
      </w:r>
      <w:hyperlink r:id="rId5" w:history="1">
        <w:r>
          <w:rPr>
            <w:rStyle w:val="highlighted"/>
            <w:color w:val="0000FF"/>
            <w:u w:val="single"/>
          </w:rPr>
          <w:t>235/2019. (X. 15.) Korm. rendeletben</w:t>
        </w:r>
      </w:hyperlink>
      <w:r>
        <w:rPr>
          <w:rStyle w:val="highlighted"/>
        </w:rPr>
        <w:t xml:space="preserve"> előírt adatszolgáltatási kötelezettségüket nem vagy nem megfelelően teljesítették.</w:t>
      </w:r>
    </w:p>
    <w:p w:rsidR="00093CC2" w:rsidRDefault="00093CC2" w:rsidP="00093CC2">
      <w:pPr>
        <w:pStyle w:val="uj"/>
        <w:jc w:val="both"/>
      </w:pPr>
      <w:r>
        <w:rPr>
          <w:rStyle w:val="highlighted"/>
        </w:rPr>
        <w:t xml:space="preserve">(8) A jegyző a tárgyévre vonatkozó ellenőrzési tervét előre, a tárgyévet megelőző év december 1. napjáig küldi meg a Nemzeti Turisztikai Adatszolgáltató Központ üzemeltetőjének az általa </w:t>
      </w:r>
      <w:r>
        <w:rPr>
          <w:rStyle w:val="highlighted"/>
        </w:rPr>
        <w:lastRenderedPageBreak/>
        <w:t>előírt formában. Az ellenőrzési tervtől történő eltérést minden esetben indokolni szükséges, és az eltérés tényét, valamint annak indokait nyolc napon belül szükséges megküldeni a Nemzeti Turisztikai Adatszolgáltató Központ üzemeltetőjének. Az ellenőrzési terv formai és tartalmi követelményeit és beküldési módját a Nemzeti Turisztikai Adatszolgáltató Központ üzemeltetője a honlapján teszi közzé.</w:t>
      </w:r>
    </w:p>
    <w:p w:rsidR="00093CC2" w:rsidRDefault="00093CC2" w:rsidP="00093CC2">
      <w:pPr>
        <w:pStyle w:val="uj"/>
        <w:jc w:val="both"/>
      </w:pPr>
      <w:r>
        <w:rPr>
          <w:rStyle w:val="highlighted"/>
        </w:rPr>
        <w:t>(9) A Nemzeti Turisztikai Adatszolgáltató Központ üzemeltetője jogosult a jegyző vagy az illetékes hatóság ellenőrzését kezdeményezni. A Nemzeti Turisztikai Adatszolgáltató Központ üzemeltetője által kezdeményezett ellenőrzés alapján a jegyző vagy az illetékes hatóság a kezdeményezéstől számított 15 napon belül köteles eljárni.</w:t>
      </w:r>
    </w:p>
    <w:p w:rsidR="00093CC2" w:rsidRDefault="00093CC2" w:rsidP="00093CC2">
      <w:pPr>
        <w:pStyle w:val="uj"/>
        <w:jc w:val="both"/>
      </w:pPr>
      <w:r>
        <w:rPr>
          <w:rStyle w:val="highlighted"/>
        </w:rPr>
        <w:t>(10) A hatósági ellenőrzés eredményeként készült jegyzőkönyvet vagy feljegyzést a jegyző a Nemzeti Turisztikai Adatszolgáltató Központ üzemeltetője részére a hatósági ellenőrzést követő 8 napon belül megküldi. A jegyzőkönyv és feljegyzés formátumát és beküldési módját a Nemzeti Turisztikai Adatszolgáltató Központ üzemeltetője a honlapján teszi közzé.</w:t>
      </w:r>
    </w:p>
    <w:p w:rsidR="005D7457" w:rsidRDefault="005D7457"/>
    <w:sectPr w:rsidR="005D7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C2"/>
    <w:rsid w:val="00093CC2"/>
    <w:rsid w:val="005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C75D"/>
  <w15:chartTrackingRefBased/>
  <w15:docId w15:val="{06B715CE-1E7C-4C10-8DFB-3FDB607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93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93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09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093CC2"/>
  </w:style>
  <w:style w:type="paragraph" w:styleId="NormlWeb">
    <w:name w:val="Normal (Web)"/>
    <w:basedOn w:val="Norml"/>
    <w:uiPriority w:val="99"/>
    <w:semiHidden/>
    <w:unhideWhenUsed/>
    <w:rsid w:val="0009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93CC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93CC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jt.hu/jogszabaly/2019-235-20-22" TargetMode="External"/><Relationship Id="rId4" Type="http://schemas.openxmlformats.org/officeDocument/2006/relationships/hyperlink" Target="https://njt.hu/jogszabaly/2007-282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SzSKatalinE</dc:creator>
  <cp:keywords/>
  <dc:description/>
  <cp:lastModifiedBy>SzSKatalinE</cp:lastModifiedBy>
  <cp:revision>1</cp:revision>
  <dcterms:created xsi:type="dcterms:W3CDTF">2024-04-18T13:25:00Z</dcterms:created>
  <dcterms:modified xsi:type="dcterms:W3CDTF">2024-04-18T13:26:00Z</dcterms:modified>
</cp:coreProperties>
</file>